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43" w:rsidRPr="00E008E9" w:rsidRDefault="00C27043" w:rsidP="00C27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Дзун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Хемчикского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2023-2024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Дзун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Хемчиксого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25.12.2019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-145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обучающимися»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23.01.2020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-42/02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рекомендаций»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31.01.2023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наставничества»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регулярной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мотивационно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Дзун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Хемчикского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кожууна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31.01.2023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оценивались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полезность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7043" w:rsidRPr="00E008E9" w:rsidRDefault="00C27043" w:rsidP="00C2704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подходам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полезности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изучены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выделены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слабые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Сильные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слабые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4"/>
        <w:gridCol w:w="3317"/>
        <w:gridCol w:w="4128"/>
      </w:tblGrid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</w:p>
        </w:tc>
      </w:tr>
      <w:tr w:rsidR="00C27043" w:rsidRPr="00B7188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0%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появилось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помимо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60%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появилось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</w:t>
            </w:r>
            <w:proofErr w:type="spellEnd"/>
            <w:proofErr w:type="gramEnd"/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повысилась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(50%)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интересоваться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подписались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статью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30%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интересуются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40%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интересуются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помимо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куратором</w:t>
            </w:r>
          </w:p>
        </w:tc>
      </w:tr>
      <w:tr w:rsidR="00C27043" w:rsidRPr="00B7188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(55%),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понравилось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(70%)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видят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Неэффективная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непроработанная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перегрузка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0%)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реализовывать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Возможности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7"/>
        <w:gridCol w:w="3752"/>
        <w:gridCol w:w="3640"/>
      </w:tblGrid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</w:t>
            </w:r>
            <w:proofErr w:type="spellEnd"/>
          </w:p>
        </w:tc>
      </w:tr>
      <w:tr w:rsidR="00C27043" w:rsidRPr="00B7188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Агрессивная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оказывающая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негативное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C27043" w:rsidRPr="00B7188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бесплатных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малобюджетных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Акцентирование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квалифицированные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Миграционный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отток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квалифицированных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</w:p>
        </w:tc>
      </w:tr>
    </w:tbl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проанализирована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proofErr w:type="gram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таблицах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4.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2023-2024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2"/>
        <w:gridCol w:w="1718"/>
        <w:gridCol w:w="1609"/>
      </w:tblGrid>
      <w:tr w:rsidR="00C27043" w:rsidTr="005E6B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Достигнутый</w:t>
            </w:r>
            <w:proofErr w:type="spellEnd"/>
          </w:p>
        </w:tc>
      </w:tr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</w:p>
          <w:p w:rsidR="00C27043" w:rsidRPr="00E008E9" w:rsidRDefault="00C27043" w:rsidP="005E6B20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</w:p>
          <w:p w:rsidR="00C27043" w:rsidRPr="00E008E9" w:rsidRDefault="00C27043" w:rsidP="005E6B20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</w:p>
          <w:p w:rsidR="00C27043" w:rsidRPr="00E008E9" w:rsidRDefault="00C27043" w:rsidP="005E6B20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вошедших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</w:p>
          <w:p w:rsidR="00C27043" w:rsidRPr="00E008E9" w:rsidRDefault="00C27043" w:rsidP="005E6B20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C27043" w:rsidTr="005E6B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(%):</w:t>
            </w:r>
          </w:p>
          <w:p w:rsidR="00C27043" w:rsidRPr="00E008E9" w:rsidRDefault="00C27043" w:rsidP="005E6B20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</w:tbl>
    <w:p w:rsidR="00C27043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5"/>
        <w:gridCol w:w="2429"/>
        <w:gridCol w:w="1580"/>
        <w:gridCol w:w="1593"/>
        <w:gridCol w:w="1942"/>
      </w:tblGrid>
      <w:tr w:rsidR="00C27043" w:rsidTr="005E6B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  <w:proofErr w:type="spellEnd"/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мере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C27043" w:rsidTr="005E6B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заложенным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F35B6B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35739D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подходам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климата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партнеров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  <w:tr w:rsidR="00C27043" w:rsidTr="005E6B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гражданская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8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E008E9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</w:tbl>
    <w:p w:rsidR="00C27043" w:rsidRDefault="00C27043" w:rsidP="00C2704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баллов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оптимальный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7043" w:rsidRDefault="00C27043" w:rsidP="00C2704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баллов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7043" w:rsidRDefault="00C27043" w:rsidP="00C27043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8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баллов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недопустимый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подходам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количественный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таблица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5).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Количественный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допустимыми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слабыми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угрозами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улучшились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планирующих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наставниками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присоединиться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сообществу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благодарных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3B07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влияния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оценивались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мотивационно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личностный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мотивационных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черт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проходило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вовлеченность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гибких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улучшилось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повысилось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профессией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климат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 w:rsidRPr="00E008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Теве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25.12.2019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-145.</w:t>
      </w:r>
    </w:p>
    <w:p w:rsidR="00C27043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допустимая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улучшились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DC34D2" w:rsidRDefault="00C27043" w:rsidP="00C27043">
      <w:pPr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DC34D2" w:rsidRDefault="00C27043" w:rsidP="00C27043">
      <w:pPr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планирующих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наставниками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присоединиться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сообществу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благодарных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DC34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молодых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0,075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Ховалыг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Ондар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класссов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</w:p>
    <w:p w:rsidR="00C27043" w:rsidRPr="00E008E9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позитивно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влияет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сообщество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вовлеченность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гибких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тревожности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улучшилось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школьную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повысилось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Pr="00E008E9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профессией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выросла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7043" w:rsidRDefault="00C27043" w:rsidP="00C27043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психологический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климат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улучшился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008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043" w:rsidRPr="007C323B" w:rsidRDefault="00C27043" w:rsidP="00C27043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27043" w:rsidRDefault="00C27043" w:rsidP="00C27043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Таблица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достижения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на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различных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конкурсах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олимпиадах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НПК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молодых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>учителей</w:t>
      </w:r>
      <w:r w:rsidRPr="007C323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2023-2024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tbl>
      <w:tblPr>
        <w:tblStyle w:val="1"/>
        <w:tblW w:w="9623" w:type="dxa"/>
        <w:tblLayout w:type="fixed"/>
        <w:tblLook w:val="04A0" w:firstRow="1" w:lastRow="0" w:firstColumn="1" w:lastColumn="0" w:noHBand="0" w:noVBand="1"/>
      </w:tblPr>
      <w:tblGrid>
        <w:gridCol w:w="426"/>
        <w:gridCol w:w="2404"/>
        <w:gridCol w:w="2977"/>
        <w:gridCol w:w="1559"/>
        <w:gridCol w:w="1134"/>
        <w:gridCol w:w="1123"/>
      </w:tblGrid>
      <w:tr w:rsidR="00C27043" w:rsidRPr="00B54734" w:rsidTr="005E6B20">
        <w:tc>
          <w:tcPr>
            <w:tcW w:w="426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r w:rsidRPr="00B5473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404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r w:rsidRPr="00B54734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 w:rsidRPr="00B54734">
              <w:rPr>
                <w:rFonts w:ascii="Times New Roman" w:eastAsia="Calibri" w:hAnsi="Times New Roman" w:cs="Times New Roman"/>
              </w:rPr>
              <w:t>учителя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Название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54734">
              <w:rPr>
                <w:rFonts w:ascii="Times New Roman" w:eastAsia="Calibri" w:hAnsi="Times New Roman" w:cs="Times New Roman"/>
              </w:rPr>
              <w:t>конкурса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Уровень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Место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23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Дата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B54734">
              <w:rPr>
                <w:rFonts w:ascii="Times New Roman" w:eastAsia="Calibri" w:hAnsi="Times New Roman" w:cs="Times New Roman"/>
              </w:rPr>
              <w:t>приказ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</w:tbl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20"/>
        <w:gridCol w:w="2342"/>
        <w:gridCol w:w="2899"/>
        <w:gridCol w:w="1521"/>
        <w:gridCol w:w="1108"/>
        <w:gridCol w:w="1098"/>
        <w:gridCol w:w="672"/>
      </w:tblGrid>
      <w:tr w:rsidR="00C27043" w:rsidRPr="00B54734" w:rsidTr="005E6B20">
        <w:trPr>
          <w:gridAfter w:val="1"/>
          <w:wAfter w:w="672" w:type="dxa"/>
        </w:trPr>
        <w:tc>
          <w:tcPr>
            <w:tcW w:w="420" w:type="dxa"/>
          </w:tcPr>
          <w:p w:rsidR="00C27043" w:rsidRDefault="00C27043" w:rsidP="005E6B20">
            <w:pPr>
              <w:rPr>
                <w:rFonts w:ascii="Times New Roman" w:eastAsia="Calibri" w:hAnsi="Times New Roman" w:cs="Times New Roman"/>
              </w:rPr>
            </w:pPr>
          </w:p>
          <w:p w:rsidR="00C27043" w:rsidRDefault="00C27043" w:rsidP="005E6B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Монгуш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Чайзат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Альбертовна – учитель русского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яз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Всероссийская дистанционная олимпиада «Хранители русского языка»  </w:t>
            </w:r>
          </w:p>
        </w:tc>
        <w:tc>
          <w:tcPr>
            <w:tcW w:w="1521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Дистанционный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региональный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C27043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Призер</w:t>
            </w:r>
            <w:proofErr w:type="spellEnd"/>
          </w:p>
          <w:p w:rsidR="00C27043" w:rsidRDefault="00C27043" w:rsidP="005E6B20">
            <w:pPr>
              <w:rPr>
                <w:rFonts w:ascii="Times New Roman" w:eastAsia="Calibri" w:hAnsi="Times New Roman" w:cs="Times New Roman"/>
              </w:rPr>
            </w:pPr>
          </w:p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Участник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27043" w:rsidRPr="00B54734" w:rsidTr="005E6B20">
        <w:trPr>
          <w:gridAfter w:val="1"/>
          <w:wAfter w:w="672" w:type="dxa"/>
        </w:trPr>
        <w:tc>
          <w:tcPr>
            <w:tcW w:w="420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Иргит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Чойганмаа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Александровна, </w:t>
            </w:r>
            <w:proofErr w:type="spellStart"/>
            <w:proofErr w:type="gramStart"/>
            <w:r w:rsidRPr="00C27043">
              <w:rPr>
                <w:rFonts w:ascii="Times New Roman" w:eastAsia="Calibri" w:hAnsi="Times New Roman" w:cs="Times New Roman"/>
                <w:lang w:val="ru-RU"/>
              </w:rPr>
              <w:t>Монгуш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Аяна</w:t>
            </w:r>
            <w:proofErr w:type="spellEnd"/>
            <w:proofErr w:type="gram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Олеговна,</w:t>
            </w:r>
          </w:p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Хертек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Айланмаа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Кара-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ооловна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</w:p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Монгуш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Чайзат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Альбертовна –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уч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русского языка </w:t>
            </w: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27043">
              <w:rPr>
                <w:rFonts w:ascii="Times New Roman" w:eastAsia="Calibri" w:hAnsi="Times New Roman" w:cs="Times New Roman"/>
                <w:lang w:val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1521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Региональный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Призер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27043" w:rsidRPr="00B54734" w:rsidTr="005E6B20">
        <w:trPr>
          <w:gridAfter w:val="1"/>
          <w:wAfter w:w="672" w:type="dxa"/>
        </w:trPr>
        <w:tc>
          <w:tcPr>
            <w:tcW w:w="420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Сат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Чодураа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Николаевна,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Ховалыг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Ш.С,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Ондар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А.М,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Сат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Н.С  </w:t>
            </w:r>
          </w:p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Всероссийская дистанционная олимпиада «Команда большой страны» </w:t>
            </w:r>
          </w:p>
        </w:tc>
        <w:tc>
          <w:tcPr>
            <w:tcW w:w="1521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Дистанционный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0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Призер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27043" w:rsidRPr="00B54734" w:rsidTr="005E6B20">
        <w:trPr>
          <w:gridAfter w:val="1"/>
          <w:wAfter w:w="672" w:type="dxa"/>
        </w:trPr>
        <w:tc>
          <w:tcPr>
            <w:tcW w:w="420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Иргит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Чойганмаа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Александровна, </w:t>
            </w:r>
            <w:proofErr w:type="spellStart"/>
            <w:proofErr w:type="gramStart"/>
            <w:r w:rsidRPr="00C27043">
              <w:rPr>
                <w:rFonts w:ascii="Times New Roman" w:eastAsia="Calibri" w:hAnsi="Times New Roman" w:cs="Times New Roman"/>
                <w:lang w:val="ru-RU"/>
              </w:rPr>
              <w:t>Монгуш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Аяна</w:t>
            </w:r>
            <w:proofErr w:type="spellEnd"/>
            <w:proofErr w:type="gram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Олеговна,</w:t>
            </w:r>
          </w:p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Хертек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Айланмаа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Кара-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ооловна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</w:p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Монгуш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eastAsia="Calibri" w:hAnsi="Times New Roman" w:cs="Times New Roman"/>
                <w:lang w:val="ru-RU"/>
              </w:rPr>
              <w:t>Чайзат</w:t>
            </w:r>
            <w:proofErr w:type="spellEnd"/>
            <w:r w:rsidRPr="00C27043">
              <w:rPr>
                <w:rFonts w:ascii="Times New Roman" w:eastAsia="Calibri" w:hAnsi="Times New Roman" w:cs="Times New Roman"/>
                <w:lang w:val="ru-RU"/>
              </w:rPr>
              <w:t xml:space="preserve"> Альбертовна – учителя русс языка </w:t>
            </w: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27043">
              <w:rPr>
                <w:rFonts w:ascii="Times New Roman" w:eastAsia="Calibri" w:hAnsi="Times New Roman" w:cs="Times New Roman"/>
                <w:lang w:val="ru-RU"/>
              </w:rPr>
              <w:t>Всероссийская дистанционная олимпиада «Команда большой страны»</w:t>
            </w:r>
          </w:p>
        </w:tc>
        <w:tc>
          <w:tcPr>
            <w:tcW w:w="1521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Дистанционный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0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Призер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Pr="00B54734" w:rsidRDefault="00C27043" w:rsidP="005E6B2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54734">
              <w:rPr>
                <w:rFonts w:ascii="Times New Roman" w:eastAsia="Calibri" w:hAnsi="Times New Roman" w:cs="Times New Roman"/>
              </w:rPr>
              <w:t>Сертификат</w:t>
            </w:r>
            <w:proofErr w:type="spellEnd"/>
            <w:r w:rsidRPr="00B5473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27043" w:rsidRPr="00B71883" w:rsidTr="005E6B20">
        <w:tc>
          <w:tcPr>
            <w:tcW w:w="420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Ховалыг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Шенне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Сергеевна – учитель математики </w:t>
            </w: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1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r w:rsidRPr="00C27043">
              <w:rPr>
                <w:rFonts w:ascii="Times New Roman" w:hAnsi="Times New Roman" w:cs="Times New Roman"/>
                <w:lang w:val="ru-RU"/>
              </w:rPr>
              <w:t xml:space="preserve">Фестиваль открытых уроков по программе «Педагогические инновации: от идеи к практике» на базе МБОУ </w:t>
            </w: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Хондергейской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СОШ  </w:t>
            </w:r>
          </w:p>
        </w:tc>
        <w:tc>
          <w:tcPr>
            <w:tcW w:w="1108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Республиканский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r w:rsidRPr="00C27043">
              <w:rPr>
                <w:rFonts w:ascii="Times New Roman" w:hAnsi="Times New Roman" w:cs="Times New Roman"/>
                <w:lang w:val="ru-RU"/>
              </w:rPr>
              <w:t xml:space="preserve">Открытый урок «3 признак равенства треугольников» 7 </w:t>
            </w: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геометрия </w:t>
            </w:r>
          </w:p>
        </w:tc>
        <w:tc>
          <w:tcPr>
            <w:tcW w:w="672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7043" w:rsidRPr="00B46ADF" w:rsidTr="005E6B20">
        <w:tc>
          <w:tcPr>
            <w:tcW w:w="420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2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Ондар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Анай-Хаак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7043">
              <w:rPr>
                <w:rFonts w:ascii="Times New Roman" w:hAnsi="Times New Roman" w:cs="Times New Roman"/>
                <w:lang w:val="ru-RU"/>
              </w:rPr>
              <w:t>Алдар-ооловна</w:t>
            </w:r>
            <w:proofErr w:type="spellEnd"/>
            <w:r w:rsidRPr="00C27043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C27043">
              <w:rPr>
                <w:rFonts w:ascii="Times New Roman" w:hAnsi="Times New Roman" w:cs="Times New Roman"/>
                <w:lang w:val="ru-RU"/>
              </w:rPr>
              <w:lastRenderedPageBreak/>
              <w:t xml:space="preserve">учитель начальных классов </w:t>
            </w:r>
          </w:p>
        </w:tc>
        <w:tc>
          <w:tcPr>
            <w:tcW w:w="2899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1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r w:rsidRPr="00C27043">
              <w:rPr>
                <w:rFonts w:ascii="Times New Roman" w:hAnsi="Times New Roman" w:cs="Times New Roman"/>
                <w:lang w:val="ru-RU"/>
              </w:rPr>
              <w:t xml:space="preserve">Межрегиональная научно-практическая </w:t>
            </w:r>
            <w:r w:rsidRPr="00C27043">
              <w:rPr>
                <w:rFonts w:ascii="Times New Roman" w:hAnsi="Times New Roman" w:cs="Times New Roman"/>
                <w:lang w:val="ru-RU"/>
              </w:rPr>
              <w:lastRenderedPageBreak/>
              <w:t xml:space="preserve">конференция «Функционирование и развитие русского языка как государственного и языка межнационального общения»  </w:t>
            </w:r>
          </w:p>
        </w:tc>
        <w:tc>
          <w:tcPr>
            <w:tcW w:w="1108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Межрегиональная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Выступление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докладом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2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01.12.2023 К</w:t>
            </w:r>
          </w:p>
        </w:tc>
      </w:tr>
      <w:tr w:rsidR="00C27043" w:rsidRPr="009167BC" w:rsidTr="005E6B20">
        <w:tc>
          <w:tcPr>
            <w:tcW w:w="420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2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Альбертовна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9" w:type="dxa"/>
          </w:tcPr>
          <w:p w:rsidR="00C27043" w:rsidRPr="00B46ADF" w:rsidRDefault="00C27043" w:rsidP="005E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C27043" w:rsidRPr="00C27043" w:rsidRDefault="00C27043" w:rsidP="005E6B20">
            <w:pPr>
              <w:rPr>
                <w:rFonts w:ascii="Times New Roman" w:hAnsi="Times New Roman" w:cs="Times New Roman"/>
                <w:lang w:val="ru-RU"/>
              </w:rPr>
            </w:pPr>
            <w:r w:rsidRPr="00C27043">
              <w:rPr>
                <w:rFonts w:ascii="Times New Roman" w:hAnsi="Times New Roman" w:cs="Times New Roman"/>
                <w:lang w:val="ru-RU"/>
              </w:rPr>
              <w:t xml:space="preserve">Учитель года в номинации «Молодой специалист» </w:t>
            </w:r>
          </w:p>
        </w:tc>
        <w:tc>
          <w:tcPr>
            <w:tcW w:w="1108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8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Номинация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2" w:type="dxa"/>
          </w:tcPr>
          <w:p w:rsidR="00C27043" w:rsidRDefault="00C27043" w:rsidP="005E6B20">
            <w:pPr>
              <w:rPr>
                <w:rFonts w:ascii="Times New Roman" w:hAnsi="Times New Roman" w:cs="Times New Roman"/>
              </w:rPr>
            </w:pPr>
          </w:p>
        </w:tc>
      </w:tr>
    </w:tbl>
    <w:p w:rsidR="00C27043" w:rsidRPr="007C323B" w:rsidRDefault="00C27043" w:rsidP="00C27043">
      <w:pPr>
        <w:spacing w:before="0" w:beforeAutospacing="0" w:after="0" w:afterAutospacing="0"/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27043" w:rsidRPr="007C323B" w:rsidRDefault="00C27043" w:rsidP="00C27043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7043" w:rsidRDefault="00C27043" w:rsidP="00C2704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3"/>
        <w:gridCol w:w="2770"/>
        <w:gridCol w:w="274"/>
      </w:tblGrid>
      <w:tr w:rsidR="00C27043" w:rsidTr="005E6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5C4F84" w:rsidRDefault="00C27043" w:rsidP="005E6B20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Pr="0030566F" w:rsidRDefault="00C27043" w:rsidP="005E6B2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043" w:rsidRDefault="00C27043" w:rsidP="005E6B20">
            <w:pPr>
              <w:spacing w:before="0" w:beforeAutospacing="0" w:after="0" w:afterAutospacing="0"/>
              <w:jc w:val="both"/>
            </w:pPr>
          </w:p>
        </w:tc>
      </w:tr>
    </w:tbl>
    <w:p w:rsidR="00665660" w:rsidRDefault="00665660">
      <w:bookmarkStart w:id="0" w:name="_GoBack"/>
      <w:bookmarkEnd w:id="0"/>
    </w:p>
    <w:sectPr w:rsidR="0066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C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60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C4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426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F1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84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70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04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01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C2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66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62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A7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A"/>
    <w:rsid w:val="00665660"/>
    <w:rsid w:val="006A714A"/>
    <w:rsid w:val="00C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9F45-7899-4DB9-9986-18A8406F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4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2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Экер</dc:creator>
  <cp:keywords/>
  <dc:description/>
  <cp:lastModifiedBy>Экер</cp:lastModifiedBy>
  <cp:revision>2</cp:revision>
  <dcterms:created xsi:type="dcterms:W3CDTF">2024-11-21T05:12:00Z</dcterms:created>
  <dcterms:modified xsi:type="dcterms:W3CDTF">2024-11-21T05:13:00Z</dcterms:modified>
</cp:coreProperties>
</file>